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D43" w:rsidRPr="00C12659" w:rsidRDefault="00623D43" w:rsidP="00623D43">
      <w:pPr>
        <w:autoSpaceDE w:val="0"/>
        <w:autoSpaceDN w:val="0"/>
        <w:spacing w:after="0" w:line="240" w:lineRule="auto"/>
        <w:rPr>
          <w:rFonts w:cs="Arial"/>
          <w:color w:val="000000"/>
        </w:rPr>
      </w:pPr>
      <w:bookmarkStart w:id="0" w:name="_GoBack"/>
      <w:bookmarkEnd w:id="0"/>
      <w:r>
        <w:rPr>
          <w:rFonts w:cs="Arial"/>
        </w:rPr>
        <w:t xml:space="preserve">Overall </w:t>
      </w:r>
      <w:r w:rsidRPr="00C12659">
        <w:rPr>
          <w:rFonts w:cs="Arial"/>
          <w:bCs/>
          <w:color w:val="000000"/>
        </w:rPr>
        <w:t>Objectives</w:t>
      </w:r>
      <w:r>
        <w:rPr>
          <w:rFonts w:cs="Arial"/>
          <w:bCs/>
          <w:color w:val="000000"/>
        </w:rPr>
        <w:t>:</w:t>
      </w:r>
    </w:p>
    <w:p w:rsidR="00623D43" w:rsidRDefault="00623D43" w:rsidP="00623D43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Describe the impact of hospital acquired catheter associated urinary tract infection</w:t>
      </w:r>
    </w:p>
    <w:p w:rsidR="00623D43" w:rsidRPr="00623D43" w:rsidRDefault="00623D43" w:rsidP="00623D43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Arial"/>
        </w:rPr>
      </w:pPr>
      <w:r w:rsidRPr="00623D43">
        <w:rPr>
          <w:rFonts w:cs="Arial"/>
          <w:color w:val="000000"/>
        </w:rPr>
        <w:t>Apply recommended evidence-based practices (bundles) for preventing hospital acquired catheter associated urinary tract infections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5040"/>
        <w:gridCol w:w="3528"/>
        <w:gridCol w:w="4932"/>
      </w:tblGrid>
      <w:tr w:rsidR="00043128" w:rsidTr="00FE53E7">
        <w:trPr>
          <w:cantSplit/>
          <w:tblHeader/>
        </w:trPr>
        <w:tc>
          <w:tcPr>
            <w:tcW w:w="1008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Time</w:t>
            </w:r>
          </w:p>
        </w:tc>
        <w:tc>
          <w:tcPr>
            <w:tcW w:w="5040" w:type="dxa"/>
          </w:tcPr>
          <w:p w:rsidR="00043128" w:rsidRPr="00627FA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Topic</w:t>
            </w:r>
          </w:p>
        </w:tc>
        <w:tc>
          <w:tcPr>
            <w:tcW w:w="3528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Program Notes</w:t>
            </w:r>
          </w:p>
        </w:tc>
        <w:tc>
          <w:tcPr>
            <w:tcW w:w="4932" w:type="dxa"/>
          </w:tcPr>
          <w:p w:rsidR="00043128" w:rsidRDefault="00043128" w:rsidP="00043128">
            <w:pPr>
              <w:autoSpaceDE w:val="0"/>
              <w:autoSpaceDN w:val="0"/>
              <w:ind w:right="-1848"/>
              <w:rPr>
                <w:rFonts w:cs="Arial"/>
              </w:rPr>
            </w:pPr>
            <w:r>
              <w:rPr>
                <w:rFonts w:cs="Arial"/>
              </w:rPr>
              <w:t>Debrief Questions</w:t>
            </w:r>
          </w:p>
        </w:tc>
      </w:tr>
      <w:tr w:rsidR="009C70B2" w:rsidTr="004A43EC">
        <w:tc>
          <w:tcPr>
            <w:tcW w:w="1008" w:type="dxa"/>
          </w:tcPr>
          <w:p w:rsidR="009C70B2" w:rsidRDefault="009C70B2" w:rsidP="004A43EC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040" w:type="dxa"/>
          </w:tcPr>
          <w:p w:rsidR="009C70B2" w:rsidRPr="00DE3B17" w:rsidRDefault="009C70B2" w:rsidP="004A43EC">
            <w:pPr>
              <w:pStyle w:val="ListParagraph"/>
              <w:autoSpaceDE w:val="0"/>
              <w:autoSpaceDN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Welcome and CNE instructions</w:t>
            </w:r>
          </w:p>
        </w:tc>
        <w:tc>
          <w:tcPr>
            <w:tcW w:w="3528" w:type="dxa"/>
          </w:tcPr>
          <w:p w:rsidR="009C70B2" w:rsidRDefault="007F42F1" w:rsidP="004A43EC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Sign roster</w:t>
            </w:r>
          </w:p>
          <w:p w:rsidR="007F42F1" w:rsidRDefault="007F42F1" w:rsidP="004A43EC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Participants get handout packets</w:t>
            </w:r>
          </w:p>
          <w:p w:rsidR="007F42F1" w:rsidRDefault="007F42F1" w:rsidP="004A43EC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Discuss CNE instructions</w:t>
            </w:r>
          </w:p>
        </w:tc>
        <w:tc>
          <w:tcPr>
            <w:tcW w:w="4932" w:type="dxa"/>
          </w:tcPr>
          <w:p w:rsidR="009C70B2" w:rsidRPr="00533533" w:rsidRDefault="009C70B2" w:rsidP="009C70B2"/>
        </w:tc>
      </w:tr>
      <w:tr w:rsidR="009C70B2" w:rsidTr="004A43EC">
        <w:tc>
          <w:tcPr>
            <w:tcW w:w="1008" w:type="dxa"/>
          </w:tcPr>
          <w:p w:rsidR="009C70B2" w:rsidRDefault="009C70B2" w:rsidP="004A43EC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040" w:type="dxa"/>
          </w:tcPr>
          <w:p w:rsidR="009C70B2" w:rsidRPr="00DE3B17" w:rsidRDefault="009C70B2" w:rsidP="004A43EC">
            <w:pPr>
              <w:pStyle w:val="ListParagraph"/>
              <w:autoSpaceDE w:val="0"/>
              <w:autoSpaceDN w:val="0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Pre-test</w:t>
            </w:r>
          </w:p>
        </w:tc>
        <w:tc>
          <w:tcPr>
            <w:tcW w:w="3528" w:type="dxa"/>
          </w:tcPr>
          <w:p w:rsidR="009C70B2" w:rsidRDefault="007F42F1" w:rsidP="004A43EC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Distribute pre-test</w:t>
            </w:r>
          </w:p>
        </w:tc>
        <w:tc>
          <w:tcPr>
            <w:tcW w:w="4932" w:type="dxa"/>
          </w:tcPr>
          <w:p w:rsidR="009C70B2" w:rsidRPr="00533533" w:rsidRDefault="009C70B2" w:rsidP="009C70B2"/>
        </w:tc>
      </w:tr>
      <w:tr w:rsidR="00C12659" w:rsidTr="007B03A3">
        <w:tc>
          <w:tcPr>
            <w:tcW w:w="14508" w:type="dxa"/>
            <w:gridSpan w:val="4"/>
          </w:tcPr>
          <w:p w:rsidR="00C12659" w:rsidRDefault="00C12659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Didactic Video</w:t>
            </w:r>
          </w:p>
        </w:tc>
      </w:tr>
      <w:tr w:rsidR="00C12659" w:rsidTr="00FE53E7">
        <w:tc>
          <w:tcPr>
            <w:tcW w:w="1008" w:type="dxa"/>
          </w:tcPr>
          <w:p w:rsidR="00C12659" w:rsidRDefault="00C12659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5040" w:type="dxa"/>
          </w:tcPr>
          <w:p w:rsidR="00C12659" w:rsidRPr="00DE3B17" w:rsidRDefault="00C12659" w:rsidP="00623D43">
            <w:pPr>
              <w:pStyle w:val="ListParagraph"/>
              <w:autoSpaceDE w:val="0"/>
              <w:autoSpaceDN w:val="0"/>
              <w:ind w:left="0"/>
              <w:rPr>
                <w:rFonts w:cs="Arial"/>
                <w:color w:val="000000"/>
              </w:rPr>
            </w:pPr>
          </w:p>
        </w:tc>
        <w:tc>
          <w:tcPr>
            <w:tcW w:w="3528" w:type="dxa"/>
          </w:tcPr>
          <w:p w:rsidR="00C12659" w:rsidRDefault="00C12659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15:37 minutes</w:t>
            </w:r>
            <w:r w:rsidR="00904BA0">
              <w:rPr>
                <w:rFonts w:cs="Arial"/>
                <w:color w:val="000000"/>
              </w:rPr>
              <w:t xml:space="preserve"> – leaves 4:</w:t>
            </w:r>
            <w:r w:rsidR="007151C4">
              <w:rPr>
                <w:rFonts w:cs="Arial"/>
                <w:color w:val="000000"/>
              </w:rPr>
              <w:t>23</w:t>
            </w:r>
            <w:r w:rsidR="00904BA0">
              <w:rPr>
                <w:rFonts w:cs="Arial"/>
                <w:color w:val="000000"/>
              </w:rPr>
              <w:t xml:space="preserve"> for debrief</w:t>
            </w:r>
          </w:p>
          <w:p w:rsidR="00C12659" w:rsidRDefault="00C12659" w:rsidP="00C12659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Ask debrief question after video</w:t>
            </w:r>
          </w:p>
        </w:tc>
        <w:tc>
          <w:tcPr>
            <w:tcW w:w="4932" w:type="dxa"/>
          </w:tcPr>
          <w:p w:rsidR="0053523F" w:rsidRDefault="00533533" w:rsidP="00C12659">
            <w:pPr>
              <w:pStyle w:val="ListParagraph"/>
              <w:numPr>
                <w:ilvl w:val="0"/>
                <w:numId w:val="7"/>
              </w:numPr>
            </w:pPr>
            <w:r>
              <w:t xml:space="preserve">The video </w:t>
            </w:r>
            <w:r w:rsidR="00C12659">
              <w:t>discuss</w:t>
            </w:r>
            <w:r>
              <w:t>es</w:t>
            </w:r>
            <w:r w:rsidR="00C12659">
              <w:t xml:space="preserve"> the cost of </w:t>
            </w:r>
            <w:r>
              <w:t>HA-</w:t>
            </w:r>
            <w:r w:rsidR="00C12659">
              <w:t xml:space="preserve">CAUTI to our health care system; How does </w:t>
            </w:r>
            <w:r>
              <w:t>HA-</w:t>
            </w:r>
            <w:r w:rsidR="00C12659">
              <w:t>CAUTI affect cost</w:t>
            </w:r>
            <w:r w:rsidR="0053523F">
              <w:t>:</w:t>
            </w:r>
          </w:p>
          <w:p w:rsidR="0053523F" w:rsidRDefault="0053523F" w:rsidP="0053523F">
            <w:pPr>
              <w:pStyle w:val="ListParagraph"/>
              <w:numPr>
                <w:ilvl w:val="1"/>
                <w:numId w:val="7"/>
              </w:numPr>
            </w:pPr>
            <w:r>
              <w:t>To the facility/organization</w:t>
            </w:r>
            <w:r w:rsidR="000C78F6">
              <w:t>?</w:t>
            </w:r>
          </w:p>
          <w:p w:rsidR="00C12659" w:rsidRDefault="0053523F" w:rsidP="0053523F">
            <w:pPr>
              <w:pStyle w:val="ListParagraph"/>
              <w:numPr>
                <w:ilvl w:val="1"/>
                <w:numId w:val="7"/>
              </w:numPr>
            </w:pPr>
            <w:r>
              <w:t>To the patient and their family</w:t>
            </w:r>
            <w:r w:rsidR="00C12659">
              <w:t>?</w:t>
            </w:r>
          </w:p>
          <w:p w:rsidR="00C12659" w:rsidRPr="00533533" w:rsidRDefault="0053523F" w:rsidP="00533533">
            <w:pPr>
              <w:pStyle w:val="ListParagraph"/>
              <w:numPr>
                <w:ilvl w:val="0"/>
                <w:numId w:val="7"/>
              </w:numPr>
            </w:pPr>
            <w:r>
              <w:t xml:space="preserve">How can we as healthcare Providers reduce the risk of complications associated with </w:t>
            </w:r>
            <w:r w:rsidR="00533533">
              <w:t>HA-</w:t>
            </w:r>
            <w:r>
              <w:t>CAUTI?</w:t>
            </w:r>
          </w:p>
        </w:tc>
      </w:tr>
      <w:tr w:rsidR="00C12659" w:rsidTr="00461E59">
        <w:tc>
          <w:tcPr>
            <w:tcW w:w="14508" w:type="dxa"/>
            <w:gridSpan w:val="4"/>
          </w:tcPr>
          <w:p w:rsidR="00C12659" w:rsidRDefault="00C12659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Simulation Video</w:t>
            </w:r>
          </w:p>
        </w:tc>
      </w:tr>
      <w:tr w:rsidR="00141A59" w:rsidTr="00162000">
        <w:trPr>
          <w:trHeight w:val="547"/>
        </w:trPr>
        <w:tc>
          <w:tcPr>
            <w:tcW w:w="1008" w:type="dxa"/>
          </w:tcPr>
          <w:p w:rsidR="00141A59" w:rsidRDefault="00141A59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040" w:type="dxa"/>
          </w:tcPr>
          <w:p w:rsidR="00141A59" w:rsidRPr="00141A59" w:rsidRDefault="00141A59" w:rsidP="00141A59">
            <w:pPr>
              <w:autoSpaceDE w:val="0"/>
              <w:autoSpaceDN w:val="0"/>
              <w:rPr>
                <w:rFonts w:cs="Arial"/>
                <w:color w:val="000000"/>
              </w:rPr>
            </w:pPr>
            <w:r w:rsidRPr="00627FA8">
              <w:rPr>
                <w:rFonts w:cs="Arial"/>
                <w:color w:val="000000"/>
              </w:rPr>
              <w:t>Importance of preventing HA-CAUTI</w:t>
            </w:r>
            <w:r>
              <w:rPr>
                <w:rFonts w:cs="Arial"/>
                <w:color w:val="000000"/>
              </w:rPr>
              <w:t xml:space="preserve"> and b</w:t>
            </w:r>
            <w:r w:rsidRPr="00627FA8">
              <w:rPr>
                <w:rFonts w:cs="Arial"/>
                <w:color w:val="000000"/>
              </w:rPr>
              <w:t>undle actions used to prevent HA-CAUTI (video)</w:t>
            </w:r>
          </w:p>
        </w:tc>
        <w:tc>
          <w:tcPr>
            <w:tcW w:w="3528" w:type="dxa"/>
          </w:tcPr>
          <w:p w:rsidR="00141A59" w:rsidRDefault="00141A59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00:00-04:17 4:17 minutes</w:t>
            </w:r>
          </w:p>
          <w:p w:rsidR="00141A59" w:rsidRDefault="00141A59" w:rsidP="00E62014">
            <w:pPr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4932" w:type="dxa"/>
          </w:tcPr>
          <w:p w:rsidR="00141A59" w:rsidRDefault="00141A59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</w:tc>
      </w:tr>
      <w:tr w:rsidR="00043128" w:rsidTr="00FE53E7">
        <w:tc>
          <w:tcPr>
            <w:tcW w:w="1008" w:type="dxa"/>
          </w:tcPr>
          <w:p w:rsidR="00043128" w:rsidRDefault="0070108A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5040" w:type="dxa"/>
          </w:tcPr>
          <w:p w:rsidR="00043128" w:rsidRPr="00627FA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 w:rsidRPr="00627FA8">
              <w:rPr>
                <w:rFonts w:cs="Arial"/>
                <w:color w:val="000000"/>
              </w:rPr>
              <w:t>Simulations &amp; Debrief: Female (video)</w:t>
            </w:r>
          </w:p>
        </w:tc>
        <w:tc>
          <w:tcPr>
            <w:tcW w:w="3528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04:18-12:38 8</w:t>
            </w:r>
            <w:r w:rsidR="00D47BED">
              <w:rPr>
                <w:rFonts w:cs="Arial"/>
                <w:color w:val="000000"/>
              </w:rPr>
              <w:t xml:space="preserve">:20 minutes – leaves </w:t>
            </w:r>
            <w:r w:rsidR="0070108A">
              <w:rPr>
                <w:rFonts w:cs="Arial"/>
                <w:color w:val="000000"/>
              </w:rPr>
              <w:t>6</w:t>
            </w:r>
            <w:r w:rsidR="00D47BED">
              <w:rPr>
                <w:rFonts w:cs="Arial"/>
                <w:color w:val="000000"/>
              </w:rPr>
              <w:t>:40</w:t>
            </w:r>
            <w:r>
              <w:rPr>
                <w:rFonts w:cs="Arial"/>
                <w:color w:val="000000"/>
              </w:rPr>
              <w:t xml:space="preserve"> for debrief</w:t>
            </w:r>
          </w:p>
          <w:p w:rsidR="00973F1E" w:rsidRDefault="00973F1E" w:rsidP="00973F1E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Stop video before male simulation</w:t>
            </w:r>
          </w:p>
          <w:p w:rsidR="00973F1E" w:rsidRDefault="00973F1E" w:rsidP="00973F1E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Ask debrief question</w:t>
            </w:r>
          </w:p>
        </w:tc>
        <w:tc>
          <w:tcPr>
            <w:tcW w:w="4932" w:type="dxa"/>
          </w:tcPr>
          <w:p w:rsidR="000C78F6" w:rsidRDefault="00973F1E" w:rsidP="00973F1E">
            <w:pPr>
              <w:pStyle w:val="ListParagraph"/>
              <w:numPr>
                <w:ilvl w:val="0"/>
                <w:numId w:val="6"/>
              </w:numPr>
            </w:pPr>
            <w:r>
              <w:t>In the</w:t>
            </w:r>
            <w:r w:rsidR="00096C07">
              <w:t xml:space="preserve"> video </w:t>
            </w:r>
            <w:r w:rsidR="008C24D6">
              <w:t>simulation you</w:t>
            </w:r>
            <w:r>
              <w:t xml:space="preserve"> saw a two person catheterization</w:t>
            </w:r>
            <w:r w:rsidR="000C78F6">
              <w:t>. You do not always need a second person for assistance according to the video.</w:t>
            </w:r>
          </w:p>
          <w:p w:rsidR="000C78F6" w:rsidRDefault="000C78F6" w:rsidP="000C78F6">
            <w:pPr>
              <w:pStyle w:val="ListParagraph"/>
              <w:numPr>
                <w:ilvl w:val="1"/>
                <w:numId w:val="6"/>
              </w:numPr>
            </w:pPr>
            <w:r>
              <w:t>W</w:t>
            </w:r>
            <w:r w:rsidR="00973F1E">
              <w:t xml:space="preserve">hy would you call for assistance? </w:t>
            </w:r>
          </w:p>
          <w:p w:rsidR="000C78F6" w:rsidRDefault="00973F1E" w:rsidP="000C78F6">
            <w:pPr>
              <w:pStyle w:val="ListParagraph"/>
              <w:numPr>
                <w:ilvl w:val="1"/>
                <w:numId w:val="6"/>
              </w:numPr>
            </w:pPr>
            <w:r>
              <w:t>If you did call for a second person</w:t>
            </w:r>
            <w:r w:rsidR="000C78F6">
              <w:t>,</w:t>
            </w:r>
            <w:r>
              <w:t xml:space="preserve"> what can they do to help in the procedure? </w:t>
            </w:r>
          </w:p>
          <w:p w:rsidR="00973F1E" w:rsidRDefault="00973F1E" w:rsidP="000C78F6">
            <w:pPr>
              <w:pStyle w:val="ListParagraph"/>
              <w:numPr>
                <w:ilvl w:val="1"/>
                <w:numId w:val="6"/>
              </w:numPr>
            </w:pPr>
            <w:r>
              <w:t>Are they considered sterile or clean and how do you know?</w:t>
            </w:r>
          </w:p>
          <w:p w:rsidR="000C78F6" w:rsidRDefault="00531F16" w:rsidP="00973F1E">
            <w:pPr>
              <w:pStyle w:val="ListParagraph"/>
              <w:numPr>
                <w:ilvl w:val="0"/>
                <w:numId w:val="6"/>
              </w:numPr>
            </w:pPr>
            <w:r>
              <w:t>Indwelling urinary catheter (IUC)</w:t>
            </w:r>
            <w:r w:rsidR="00973F1E">
              <w:t xml:space="preserve"> kits may differ from one instituti</w:t>
            </w:r>
            <w:r w:rsidR="000C78F6">
              <w:t>on to the next. The</w:t>
            </w:r>
            <w:r>
              <w:t xml:space="preserve"> IUC</w:t>
            </w:r>
            <w:r w:rsidR="000C78F6">
              <w:t xml:space="preserve"> in this</w:t>
            </w:r>
            <w:r w:rsidR="00973F1E">
              <w:t xml:space="preserve"> first simulation </w:t>
            </w:r>
            <w:r w:rsidR="00B34F49">
              <w:t xml:space="preserve">used </w:t>
            </w:r>
            <w:proofErr w:type="spellStart"/>
            <w:r w:rsidR="00B34F49">
              <w:t>prepackeged</w:t>
            </w:r>
            <w:proofErr w:type="spellEnd"/>
            <w:r w:rsidR="00973F1E">
              <w:t xml:space="preserve"> castile soap </w:t>
            </w:r>
            <w:proofErr w:type="spellStart"/>
            <w:r w:rsidR="00B34F49">
              <w:t>towelettes</w:t>
            </w:r>
            <w:proofErr w:type="spellEnd"/>
            <w:r w:rsidR="00B34F49">
              <w:t xml:space="preserve"> </w:t>
            </w:r>
            <w:r w:rsidR="00973F1E">
              <w:t>to perform perineal care</w:t>
            </w:r>
            <w:r w:rsidR="000C78F6">
              <w:t>.</w:t>
            </w:r>
          </w:p>
          <w:p w:rsidR="000C78F6" w:rsidRDefault="000C78F6" w:rsidP="000C78F6">
            <w:pPr>
              <w:pStyle w:val="ListParagraph"/>
              <w:numPr>
                <w:ilvl w:val="1"/>
                <w:numId w:val="6"/>
              </w:numPr>
            </w:pPr>
            <w:r>
              <w:t>W</w:t>
            </w:r>
            <w:r w:rsidR="00973F1E">
              <w:t xml:space="preserve">hat are your other options for </w:t>
            </w:r>
            <w:proofErr w:type="spellStart"/>
            <w:r w:rsidR="00973F1E">
              <w:t>peri</w:t>
            </w:r>
            <w:proofErr w:type="spellEnd"/>
            <w:r w:rsidR="00973F1E">
              <w:t xml:space="preserve"> care and </w:t>
            </w:r>
          </w:p>
          <w:p w:rsidR="00973F1E" w:rsidRDefault="000C78F6" w:rsidP="000C78F6">
            <w:pPr>
              <w:pStyle w:val="ListParagraph"/>
              <w:numPr>
                <w:ilvl w:val="1"/>
                <w:numId w:val="6"/>
              </w:numPr>
            </w:pPr>
            <w:r>
              <w:t>W</w:t>
            </w:r>
            <w:r w:rsidR="00973F1E">
              <w:t xml:space="preserve">hen do you perform this on the </w:t>
            </w:r>
            <w:r w:rsidR="00973F1E">
              <w:lastRenderedPageBreak/>
              <w:t>patient?</w:t>
            </w:r>
          </w:p>
          <w:p w:rsidR="000C78F6" w:rsidRPr="000C78F6" w:rsidRDefault="00973F1E" w:rsidP="000C78F6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/>
              </w:rPr>
            </w:pPr>
            <w:r>
              <w:t>There are two de</w:t>
            </w:r>
            <w:r w:rsidR="000C78F6">
              <w:t>vices that are imperative in</w:t>
            </w:r>
            <w:r w:rsidR="00531F16">
              <w:t xml:space="preserve"> securing of the IUC</w:t>
            </w:r>
            <w:r>
              <w:t xml:space="preserve"> post insertion</w:t>
            </w:r>
            <w:r w:rsidR="000C78F6">
              <w:t>,</w:t>
            </w:r>
          </w:p>
          <w:p w:rsidR="000C78F6" w:rsidRPr="000C78F6" w:rsidRDefault="000C78F6" w:rsidP="000C78F6">
            <w:pPr>
              <w:pStyle w:val="ListParagraph"/>
              <w:numPr>
                <w:ilvl w:val="1"/>
                <w:numId w:val="6"/>
              </w:numPr>
              <w:rPr>
                <w:rFonts w:cs="Arial"/>
                <w:color w:val="000000"/>
              </w:rPr>
            </w:pPr>
            <w:r>
              <w:t>W</w:t>
            </w:r>
            <w:r w:rsidR="00973F1E">
              <w:t xml:space="preserve">hat are they and </w:t>
            </w:r>
          </w:p>
          <w:p w:rsidR="00043128" w:rsidRDefault="000C78F6" w:rsidP="000C78F6">
            <w:pPr>
              <w:pStyle w:val="ListParagraph"/>
              <w:numPr>
                <w:ilvl w:val="1"/>
                <w:numId w:val="6"/>
              </w:numPr>
              <w:rPr>
                <w:rFonts w:cs="Arial"/>
                <w:color w:val="000000"/>
              </w:rPr>
            </w:pPr>
            <w:r>
              <w:t>W</w:t>
            </w:r>
            <w:r w:rsidR="00973F1E">
              <w:t>hat do they do?</w:t>
            </w:r>
          </w:p>
        </w:tc>
      </w:tr>
      <w:tr w:rsidR="00043128" w:rsidTr="00FE53E7">
        <w:tc>
          <w:tcPr>
            <w:tcW w:w="1008" w:type="dxa"/>
          </w:tcPr>
          <w:p w:rsidR="00043128" w:rsidRDefault="0070108A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lastRenderedPageBreak/>
              <w:t>15</w:t>
            </w:r>
          </w:p>
        </w:tc>
        <w:tc>
          <w:tcPr>
            <w:tcW w:w="5040" w:type="dxa"/>
          </w:tcPr>
          <w:p w:rsidR="00043128" w:rsidRPr="00627FA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 w:rsidRPr="00627FA8">
              <w:rPr>
                <w:rFonts w:cs="Arial"/>
                <w:color w:val="000000"/>
              </w:rPr>
              <w:t>Simulations &amp; Debrief: Insertion: Male (video)</w:t>
            </w:r>
          </w:p>
        </w:tc>
        <w:tc>
          <w:tcPr>
            <w:tcW w:w="3528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12:39-18:55 6</w:t>
            </w:r>
            <w:r w:rsidR="00D36E4E">
              <w:rPr>
                <w:rFonts w:cs="Arial"/>
                <w:color w:val="000000"/>
              </w:rPr>
              <w:t>:16 minutes – leaves 8</w:t>
            </w:r>
            <w:r w:rsidR="00D47BED">
              <w:rPr>
                <w:rFonts w:cs="Arial"/>
                <w:color w:val="000000"/>
              </w:rPr>
              <w:t>:44</w:t>
            </w:r>
            <w:r>
              <w:rPr>
                <w:rFonts w:cs="Arial"/>
                <w:color w:val="000000"/>
              </w:rPr>
              <w:t xml:space="preserve"> for debrief</w:t>
            </w:r>
          </w:p>
        </w:tc>
        <w:tc>
          <w:tcPr>
            <w:tcW w:w="4932" w:type="dxa"/>
          </w:tcPr>
          <w:p w:rsidR="00973F1E" w:rsidRDefault="00973F1E" w:rsidP="00973F1E">
            <w:pPr>
              <w:pStyle w:val="ListParagraph"/>
              <w:numPr>
                <w:ilvl w:val="0"/>
                <w:numId w:val="8"/>
              </w:numPr>
            </w:pPr>
            <w:r>
              <w:t>Discuss the difference in</w:t>
            </w:r>
            <w:r w:rsidR="008C24D6">
              <w:t xml:space="preserve"> technique between</w:t>
            </w:r>
            <w:r>
              <w:t xml:space="preserve"> male and female catheter insertion.</w:t>
            </w:r>
          </w:p>
          <w:p w:rsidR="000C78F6" w:rsidRDefault="00973F1E" w:rsidP="00973F1E">
            <w:pPr>
              <w:pStyle w:val="ListParagraph"/>
              <w:numPr>
                <w:ilvl w:val="0"/>
                <w:numId w:val="8"/>
              </w:numPr>
            </w:pPr>
            <w:r>
              <w:t xml:space="preserve">One of the insertion kits demonstrated in the video had the hand-washing gel packet. </w:t>
            </w:r>
          </w:p>
          <w:p w:rsidR="000C78F6" w:rsidRDefault="00973F1E" w:rsidP="000C78F6">
            <w:pPr>
              <w:pStyle w:val="ListParagraph"/>
              <w:numPr>
                <w:ilvl w:val="1"/>
                <w:numId w:val="8"/>
              </w:numPr>
            </w:pPr>
            <w:r>
              <w:t xml:space="preserve">Is that typical?  </w:t>
            </w:r>
          </w:p>
          <w:p w:rsidR="00973F1E" w:rsidRDefault="00973F1E" w:rsidP="000C78F6">
            <w:pPr>
              <w:pStyle w:val="ListParagraph"/>
              <w:numPr>
                <w:ilvl w:val="1"/>
                <w:numId w:val="8"/>
              </w:numPr>
            </w:pPr>
            <w:r>
              <w:t>When do you “wash” or sanitize your hands?</w:t>
            </w:r>
          </w:p>
          <w:p w:rsidR="000C78F6" w:rsidRDefault="00973F1E" w:rsidP="000C78F6">
            <w:pPr>
              <w:pStyle w:val="ListParagraph"/>
              <w:numPr>
                <w:ilvl w:val="0"/>
                <w:numId w:val="8"/>
              </w:numPr>
            </w:pPr>
            <w:r>
              <w:t>In the video’s male simulation the over-bed table was in the way</w:t>
            </w:r>
            <w:r w:rsidR="000C78F6">
              <w:t>. S</w:t>
            </w:r>
            <w:r>
              <w:t>terility was not compromised but</w:t>
            </w:r>
          </w:p>
          <w:p w:rsidR="00043128" w:rsidRPr="00973F1E" w:rsidRDefault="000C78F6" w:rsidP="000C78F6">
            <w:pPr>
              <w:pStyle w:val="ListParagraph"/>
              <w:numPr>
                <w:ilvl w:val="1"/>
                <w:numId w:val="8"/>
              </w:numPr>
            </w:pPr>
            <w:r>
              <w:t>W</w:t>
            </w:r>
            <w:r w:rsidR="00973F1E">
              <w:t xml:space="preserve">hat else should we ensure about the environment? </w:t>
            </w:r>
          </w:p>
        </w:tc>
      </w:tr>
      <w:tr w:rsidR="00043128" w:rsidTr="00FE53E7">
        <w:tc>
          <w:tcPr>
            <w:tcW w:w="1008" w:type="dxa"/>
          </w:tcPr>
          <w:p w:rsidR="00043128" w:rsidRDefault="00D36E4E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5040" w:type="dxa"/>
          </w:tcPr>
          <w:p w:rsidR="00043128" w:rsidRPr="00627FA8" w:rsidRDefault="00043128" w:rsidP="00531F16">
            <w:pPr>
              <w:autoSpaceDE w:val="0"/>
              <w:autoSpaceDN w:val="0"/>
              <w:rPr>
                <w:rFonts w:cs="Arial"/>
                <w:color w:val="000000"/>
              </w:rPr>
            </w:pPr>
            <w:r w:rsidRPr="00627FA8">
              <w:rPr>
                <w:rFonts w:cs="Arial"/>
                <w:color w:val="000000"/>
              </w:rPr>
              <w:t xml:space="preserve">Insertion competency: Aseptic technique (includes </w:t>
            </w:r>
            <w:r w:rsidR="00531F16">
              <w:rPr>
                <w:rFonts w:cs="Arial"/>
                <w:color w:val="000000"/>
              </w:rPr>
              <w:t>securement device</w:t>
            </w:r>
            <w:r w:rsidRPr="00627FA8">
              <w:rPr>
                <w:rFonts w:cs="Arial"/>
                <w:color w:val="000000"/>
              </w:rPr>
              <w:t>)</w:t>
            </w:r>
          </w:p>
        </w:tc>
        <w:tc>
          <w:tcPr>
            <w:tcW w:w="3528" w:type="dxa"/>
          </w:tcPr>
          <w:p w:rsidR="00AF3472" w:rsidRPr="00D35914" w:rsidRDefault="00AF3472" w:rsidP="00D3591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rPr>
                <w:rFonts w:cs="Arial"/>
                <w:color w:val="000000"/>
              </w:rPr>
            </w:pPr>
            <w:r w:rsidRPr="00D35914">
              <w:rPr>
                <w:rFonts w:cs="Arial"/>
                <w:color w:val="000000"/>
              </w:rPr>
              <w:t>Divide participants into 4 groups (We have 4 private parts available).</w:t>
            </w:r>
          </w:p>
          <w:p w:rsidR="00AF3472" w:rsidRPr="00D35914" w:rsidRDefault="00AF3472" w:rsidP="00D3591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rPr>
                <w:rFonts w:cs="Arial"/>
                <w:color w:val="000000"/>
              </w:rPr>
            </w:pPr>
            <w:r w:rsidRPr="00D35914">
              <w:rPr>
                <w:rFonts w:cs="Arial"/>
                <w:color w:val="000000"/>
              </w:rPr>
              <w:t>Randomly select</w:t>
            </w:r>
            <w:r w:rsidR="00D35914" w:rsidRPr="00D35914">
              <w:rPr>
                <w:rFonts w:cs="Arial"/>
                <w:color w:val="000000"/>
              </w:rPr>
              <w:t xml:space="preserve"> 2 </w:t>
            </w:r>
            <w:r w:rsidRPr="00D35914">
              <w:rPr>
                <w:rFonts w:cs="Arial"/>
                <w:color w:val="000000"/>
              </w:rPr>
              <w:t>groups</w:t>
            </w:r>
            <w:r w:rsidR="00D35914" w:rsidRPr="00D35914">
              <w:rPr>
                <w:rFonts w:cs="Arial"/>
                <w:color w:val="000000"/>
              </w:rPr>
              <w:t xml:space="preserve"> to do male and 2 groups</w:t>
            </w:r>
            <w:r w:rsidR="00D35914">
              <w:rPr>
                <w:rFonts w:cs="Arial"/>
                <w:color w:val="000000"/>
              </w:rPr>
              <w:t xml:space="preserve"> to do</w:t>
            </w:r>
            <w:r w:rsidRPr="00D35914">
              <w:rPr>
                <w:rFonts w:cs="Arial"/>
                <w:color w:val="000000"/>
              </w:rPr>
              <w:t xml:space="preserve"> female indwelling catheter insertion.</w:t>
            </w:r>
            <w:r w:rsidR="00D35914">
              <w:rPr>
                <w:rFonts w:cs="Arial"/>
                <w:color w:val="000000"/>
              </w:rPr>
              <w:t xml:space="preserve"> Set up one male and female mannequin at one side of the room and the other set at the other side of the room.</w:t>
            </w:r>
          </w:p>
          <w:p w:rsidR="00D35914" w:rsidRDefault="00D35914" w:rsidP="00D3591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rPr>
                <w:rFonts w:cs="Arial"/>
                <w:color w:val="000000"/>
              </w:rPr>
            </w:pPr>
            <w:r w:rsidRPr="00D35914">
              <w:rPr>
                <w:rFonts w:cs="Arial"/>
                <w:color w:val="000000"/>
              </w:rPr>
              <w:t>1</w:t>
            </w:r>
            <w:r>
              <w:rPr>
                <w:rFonts w:cs="Arial"/>
                <w:color w:val="000000"/>
              </w:rPr>
              <w:t>0 minutes for both</w:t>
            </w:r>
            <w:r w:rsidRPr="00D35914">
              <w:rPr>
                <w:rFonts w:cs="Arial"/>
                <w:color w:val="000000"/>
              </w:rPr>
              <w:t xml:space="preserve"> female groups</w:t>
            </w:r>
            <w:r w:rsidR="00043128" w:rsidRPr="00D35914">
              <w:rPr>
                <w:rFonts w:cs="Arial"/>
                <w:color w:val="000000"/>
              </w:rPr>
              <w:t xml:space="preserve"> to demonstrate insertion</w:t>
            </w:r>
            <w:r>
              <w:rPr>
                <w:rFonts w:cs="Arial"/>
                <w:color w:val="000000"/>
              </w:rPr>
              <w:t xml:space="preserve"> simultaneously while the other two groups watch</w:t>
            </w:r>
            <w:r w:rsidR="00043128" w:rsidRPr="00D35914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the insertion.</w:t>
            </w:r>
          </w:p>
          <w:p w:rsidR="00D35914" w:rsidRPr="00D35914" w:rsidRDefault="00D35914" w:rsidP="00D35914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One group member is cho</w:t>
            </w:r>
            <w:r w:rsidR="00C6504B">
              <w:rPr>
                <w:rFonts w:cs="Arial"/>
                <w:color w:val="000000"/>
              </w:rPr>
              <w:t>sen to demonstrate while</w:t>
            </w:r>
            <w:r>
              <w:rPr>
                <w:rFonts w:cs="Arial"/>
                <w:color w:val="000000"/>
              </w:rPr>
              <w:t xml:space="preserve"> the others take turns reading the </w:t>
            </w:r>
            <w:r w:rsidR="00C6504B">
              <w:rPr>
                <w:rFonts w:cs="Arial"/>
                <w:color w:val="000000"/>
              </w:rPr>
              <w:t xml:space="preserve">steps </w:t>
            </w:r>
            <w:r w:rsidR="00C6504B">
              <w:rPr>
                <w:rFonts w:cs="Arial"/>
                <w:color w:val="000000"/>
              </w:rPr>
              <w:lastRenderedPageBreak/>
              <w:t>on</w:t>
            </w:r>
            <w:r>
              <w:rPr>
                <w:rFonts w:cs="Arial"/>
                <w:color w:val="000000"/>
              </w:rPr>
              <w:t xml:space="preserve"> the checklist</w:t>
            </w:r>
            <w:r w:rsidR="00C6504B">
              <w:rPr>
                <w:rFonts w:cs="Arial"/>
                <w:color w:val="000000"/>
              </w:rPr>
              <w:t xml:space="preserve"> to the demonstrator.</w:t>
            </w:r>
          </w:p>
          <w:p w:rsidR="00043128" w:rsidRDefault="00D35914" w:rsidP="00D3591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rPr>
                <w:rFonts w:cs="Arial"/>
                <w:color w:val="000000"/>
              </w:rPr>
            </w:pPr>
            <w:r w:rsidRPr="00D35914">
              <w:rPr>
                <w:rFonts w:cs="Arial"/>
                <w:color w:val="000000"/>
              </w:rPr>
              <w:t xml:space="preserve">10 minutes for the male groups to demonstrate </w:t>
            </w:r>
            <w:r>
              <w:rPr>
                <w:rFonts w:cs="Arial"/>
                <w:color w:val="000000"/>
              </w:rPr>
              <w:t>insertion simultaneously while the other two groups watch</w:t>
            </w:r>
            <w:r w:rsidRPr="00D35914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the insertion.</w:t>
            </w:r>
          </w:p>
          <w:p w:rsidR="00043128" w:rsidRPr="00C6504B" w:rsidRDefault="00C6504B" w:rsidP="00C6504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One group member is chosen to demonstrate while the others take turns reading the steps on the checklist to the demonstrator.</w:t>
            </w:r>
          </w:p>
        </w:tc>
        <w:tc>
          <w:tcPr>
            <w:tcW w:w="4932" w:type="dxa"/>
          </w:tcPr>
          <w:p w:rsidR="00043128" w:rsidRDefault="0004312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A13761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Using the same checklist the observing group </w:t>
            </w:r>
          </w:p>
          <w:p w:rsidR="00D35914" w:rsidRDefault="00D35914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proofErr w:type="gramStart"/>
            <w:r>
              <w:rPr>
                <w:rFonts w:cs="Arial"/>
                <w:color w:val="000000"/>
              </w:rPr>
              <w:t>critiques</w:t>
            </w:r>
            <w:proofErr w:type="gramEnd"/>
            <w:r>
              <w:rPr>
                <w:rFonts w:cs="Arial"/>
                <w:color w:val="000000"/>
              </w:rPr>
              <w:t xml:space="preserve"> the demonstration</w:t>
            </w:r>
            <w:r w:rsidR="00173488">
              <w:rPr>
                <w:rFonts w:cs="Arial"/>
                <w:color w:val="000000"/>
              </w:rPr>
              <w:t>.</w:t>
            </w: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C6504B" w:rsidRDefault="00C6504B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A13761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Using the same checklist the observing group </w:t>
            </w:r>
          </w:p>
          <w:p w:rsidR="00173488" w:rsidRDefault="0017348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proofErr w:type="gramStart"/>
            <w:r>
              <w:rPr>
                <w:rFonts w:cs="Arial"/>
                <w:color w:val="000000"/>
              </w:rPr>
              <w:t>critiques</w:t>
            </w:r>
            <w:proofErr w:type="gramEnd"/>
            <w:r>
              <w:rPr>
                <w:rFonts w:cs="Arial"/>
                <w:color w:val="000000"/>
              </w:rPr>
              <w:t xml:space="preserve"> the demonstration.</w:t>
            </w:r>
          </w:p>
        </w:tc>
      </w:tr>
      <w:tr w:rsidR="00043128" w:rsidTr="00FE53E7">
        <w:tc>
          <w:tcPr>
            <w:tcW w:w="1008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lastRenderedPageBreak/>
              <w:t>10</w:t>
            </w:r>
          </w:p>
        </w:tc>
        <w:tc>
          <w:tcPr>
            <w:tcW w:w="5040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 w:rsidRPr="00627FA8">
              <w:rPr>
                <w:rFonts w:cs="Arial"/>
                <w:color w:val="000000"/>
              </w:rPr>
              <w:t>Simulations &amp; Debrief: Maintenance and Care (video)</w:t>
            </w:r>
          </w:p>
          <w:p w:rsidR="00043128" w:rsidRDefault="001C3933" w:rsidP="008539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Assessing/i</w:t>
            </w:r>
            <w:r w:rsidR="00043128">
              <w:rPr>
                <w:rFonts w:cs="Arial"/>
                <w:color w:val="000000"/>
              </w:rPr>
              <w:t>nspecting</w:t>
            </w:r>
          </w:p>
          <w:p w:rsidR="00043128" w:rsidRDefault="00043128" w:rsidP="008539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Emptying </w:t>
            </w:r>
          </w:p>
          <w:p w:rsidR="00043128" w:rsidRDefault="00043128" w:rsidP="008539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Pericare</w:t>
            </w:r>
            <w:proofErr w:type="spellEnd"/>
            <w:r>
              <w:rPr>
                <w:rFonts w:cs="Arial"/>
                <w:color w:val="000000"/>
              </w:rPr>
              <w:t>/cleaning</w:t>
            </w:r>
          </w:p>
          <w:p w:rsidR="00043128" w:rsidRDefault="00043128" w:rsidP="008539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Specimen</w:t>
            </w:r>
          </w:p>
          <w:p w:rsidR="00043128" w:rsidRDefault="00043128" w:rsidP="008539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Ambulating and transport</w:t>
            </w:r>
          </w:p>
          <w:p w:rsidR="00043128" w:rsidRPr="008539E3" w:rsidRDefault="00043128" w:rsidP="008539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Removal </w:t>
            </w:r>
          </w:p>
        </w:tc>
        <w:tc>
          <w:tcPr>
            <w:tcW w:w="3528" w:type="dxa"/>
          </w:tcPr>
          <w:p w:rsidR="00043128" w:rsidRDefault="00D47BED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18:56-24:35 5:3</w:t>
            </w:r>
            <w:r w:rsidR="00FB3005">
              <w:rPr>
                <w:rFonts w:cs="Arial"/>
                <w:color w:val="000000"/>
              </w:rPr>
              <w:t>9</w:t>
            </w:r>
            <w:r w:rsidR="00043128">
              <w:rPr>
                <w:rFonts w:cs="Arial"/>
                <w:color w:val="000000"/>
              </w:rPr>
              <w:t xml:space="preserve"> minutes – leaves 4</w:t>
            </w:r>
            <w:r w:rsidR="00FB3005">
              <w:rPr>
                <w:rFonts w:cs="Arial"/>
                <w:color w:val="000000"/>
              </w:rPr>
              <w:t>:21</w:t>
            </w:r>
            <w:r w:rsidR="00043128">
              <w:rPr>
                <w:rFonts w:cs="Arial"/>
                <w:color w:val="000000"/>
              </w:rPr>
              <w:t xml:space="preserve"> for debrief</w:t>
            </w:r>
            <w:r w:rsidR="00904BA0">
              <w:rPr>
                <w:rFonts w:cs="Arial"/>
                <w:color w:val="000000"/>
              </w:rPr>
              <w:t xml:space="preserve"> questions</w:t>
            </w:r>
          </w:p>
        </w:tc>
        <w:tc>
          <w:tcPr>
            <w:tcW w:w="4932" w:type="dxa"/>
          </w:tcPr>
          <w:p w:rsidR="000C78F6" w:rsidRDefault="001C3933" w:rsidP="001C3933">
            <w:pPr>
              <w:pStyle w:val="ListParagraph"/>
              <w:numPr>
                <w:ilvl w:val="0"/>
                <w:numId w:val="9"/>
              </w:numPr>
            </w:pPr>
            <w:r>
              <w:t xml:space="preserve">You need a specimen; the nurse before you had disconnected the catheter at the connection between the actual catheter and bag.  </w:t>
            </w:r>
          </w:p>
          <w:p w:rsidR="000C78F6" w:rsidRDefault="001C3933" w:rsidP="000C78F6">
            <w:pPr>
              <w:pStyle w:val="ListParagraph"/>
              <w:numPr>
                <w:ilvl w:val="1"/>
                <w:numId w:val="9"/>
              </w:numPr>
            </w:pPr>
            <w:r>
              <w:t xml:space="preserve">What is your first action? </w:t>
            </w:r>
          </w:p>
          <w:p w:rsidR="001C3933" w:rsidRDefault="001C3933" w:rsidP="000C78F6">
            <w:pPr>
              <w:pStyle w:val="ListParagraph"/>
              <w:numPr>
                <w:ilvl w:val="1"/>
                <w:numId w:val="9"/>
              </w:numPr>
            </w:pPr>
            <w:r>
              <w:t>What is the proper way to obtain the specimen?</w:t>
            </w:r>
          </w:p>
          <w:p w:rsidR="000C78F6" w:rsidRDefault="00531F16" w:rsidP="001C3933">
            <w:pPr>
              <w:pStyle w:val="ListParagraph"/>
              <w:numPr>
                <w:ilvl w:val="0"/>
                <w:numId w:val="9"/>
              </w:numPr>
            </w:pPr>
            <w:r>
              <w:t>When emptying the IUC</w:t>
            </w:r>
            <w:r w:rsidR="001C3933">
              <w:t xml:space="preserve"> bag you notice that the only container in the room is mark NG tube</w:t>
            </w:r>
            <w:r w:rsidR="000C78F6">
              <w:t>.</w:t>
            </w:r>
            <w:r w:rsidR="001C3933">
              <w:t xml:space="preserve"> </w:t>
            </w:r>
          </w:p>
          <w:p w:rsidR="000C78F6" w:rsidRDefault="000C78F6" w:rsidP="000C78F6">
            <w:pPr>
              <w:pStyle w:val="ListParagraph"/>
              <w:numPr>
                <w:ilvl w:val="1"/>
                <w:numId w:val="9"/>
              </w:numPr>
            </w:pPr>
            <w:r>
              <w:t>I</w:t>
            </w:r>
            <w:r w:rsidR="001C3933">
              <w:t xml:space="preserve">s it ok to use this? </w:t>
            </w:r>
          </w:p>
          <w:p w:rsidR="001C3933" w:rsidRDefault="001C3933" w:rsidP="000C78F6">
            <w:pPr>
              <w:pStyle w:val="ListParagraph"/>
              <w:numPr>
                <w:ilvl w:val="1"/>
                <w:numId w:val="9"/>
              </w:numPr>
            </w:pPr>
            <w:r>
              <w:t>Why or why not?</w:t>
            </w:r>
          </w:p>
          <w:p w:rsidR="00043128" w:rsidRPr="001C3933" w:rsidRDefault="00531F16" w:rsidP="001C3933">
            <w:pPr>
              <w:pStyle w:val="ListParagraph"/>
              <w:numPr>
                <w:ilvl w:val="0"/>
                <w:numId w:val="9"/>
              </w:numPr>
            </w:pPr>
            <w:r>
              <w:t>When you remove a</w:t>
            </w:r>
            <w:r w:rsidR="004C3A9C">
              <w:t>n</w:t>
            </w:r>
            <w:r>
              <w:t xml:space="preserve"> IUC</w:t>
            </w:r>
            <w:r w:rsidR="001C3933">
              <w:t xml:space="preserve"> what patient teaching is essential?</w:t>
            </w:r>
          </w:p>
        </w:tc>
      </w:tr>
      <w:tr w:rsidR="00043128" w:rsidTr="00FE53E7">
        <w:tc>
          <w:tcPr>
            <w:tcW w:w="1008" w:type="dxa"/>
          </w:tcPr>
          <w:p w:rsidR="00043128" w:rsidRDefault="00A13761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5040" w:type="dxa"/>
          </w:tcPr>
          <w:p w:rsidR="00043128" w:rsidRPr="00627FA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 w:rsidRPr="00627FA8">
              <w:rPr>
                <w:rFonts w:cs="Arial"/>
                <w:color w:val="000000"/>
              </w:rPr>
              <w:t>Maintenance competency (audit)</w:t>
            </w:r>
          </w:p>
        </w:tc>
        <w:tc>
          <w:tcPr>
            <w:tcW w:w="3528" w:type="dxa"/>
          </w:tcPr>
          <w:p w:rsidR="00173488" w:rsidRDefault="0017348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Review the HA-CAU</w:t>
            </w:r>
            <w:r w:rsidR="0070108A">
              <w:rPr>
                <w:rFonts w:cs="Arial"/>
                <w:color w:val="000000"/>
              </w:rPr>
              <w:t>TI Audit Tool with the participants</w:t>
            </w:r>
            <w:r w:rsidR="00A13761">
              <w:rPr>
                <w:rFonts w:cs="Arial"/>
                <w:color w:val="000000"/>
              </w:rPr>
              <w:t>.</w:t>
            </w:r>
          </w:p>
          <w:p w:rsidR="002E14F9" w:rsidRDefault="002E14F9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Perform an audit on the 3 mannequins set up to match the case studies. </w:t>
            </w:r>
          </w:p>
          <w:p w:rsidR="001C3933" w:rsidRDefault="008B0ED7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Using power point, present 3 case studies and a corresponding picture of the CAUTI mannequin as would be seen at the time </w:t>
            </w:r>
            <w:proofErr w:type="spellStart"/>
            <w:r>
              <w:rPr>
                <w:rFonts w:cs="Arial"/>
                <w:color w:val="000000"/>
              </w:rPr>
              <w:t>f</w:t>
            </w:r>
            <w:proofErr w:type="spellEnd"/>
            <w:r>
              <w:rPr>
                <w:rFonts w:cs="Arial"/>
                <w:color w:val="000000"/>
              </w:rPr>
              <w:t xml:space="preserve"> the audit</w:t>
            </w:r>
            <w:r w:rsidR="0053523F">
              <w:rPr>
                <w:rFonts w:cs="Arial"/>
                <w:color w:val="000000"/>
              </w:rPr>
              <w:t>.</w:t>
            </w:r>
          </w:p>
        </w:tc>
        <w:tc>
          <w:tcPr>
            <w:tcW w:w="4932" w:type="dxa"/>
          </w:tcPr>
          <w:p w:rsidR="008B0ED7" w:rsidRDefault="008B0ED7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8B0ED7" w:rsidRDefault="008B0ED7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  <w:p w:rsidR="00A13761" w:rsidRDefault="00A13761" w:rsidP="00A13761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Using the HA-CAUTI Audit Tool, address each </w:t>
            </w:r>
          </w:p>
          <w:p w:rsidR="00A13761" w:rsidRDefault="00A13761" w:rsidP="00A13761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  <w:proofErr w:type="gramStart"/>
            <w:r>
              <w:rPr>
                <w:rFonts w:cs="Arial"/>
                <w:color w:val="000000"/>
              </w:rPr>
              <w:t>element</w:t>
            </w:r>
            <w:proofErr w:type="gramEnd"/>
            <w:r>
              <w:rPr>
                <w:rFonts w:cs="Arial"/>
                <w:color w:val="000000"/>
              </w:rPr>
              <w:t xml:space="preserve"> as compliant or not compliant.</w:t>
            </w:r>
          </w:p>
          <w:p w:rsidR="00FE53E7" w:rsidRDefault="00FE53E7" w:rsidP="00A13761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</w:tc>
      </w:tr>
      <w:tr w:rsidR="00043128" w:rsidTr="00FE53E7">
        <w:tc>
          <w:tcPr>
            <w:tcW w:w="1008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040" w:type="dxa"/>
          </w:tcPr>
          <w:p w:rsidR="00043128" w:rsidRPr="00627FA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 w:rsidRPr="00627FA8">
              <w:rPr>
                <w:rFonts w:cs="Arial"/>
                <w:color w:val="000000"/>
              </w:rPr>
              <w:t>Documentation associated with urinary catheters</w:t>
            </w:r>
          </w:p>
        </w:tc>
        <w:tc>
          <w:tcPr>
            <w:tcW w:w="3528" w:type="dxa"/>
          </w:tcPr>
          <w:p w:rsidR="00043128" w:rsidRDefault="008B0ED7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Participant guide will have screen shot for their later review.</w:t>
            </w:r>
          </w:p>
        </w:tc>
        <w:tc>
          <w:tcPr>
            <w:tcW w:w="4932" w:type="dxa"/>
          </w:tcPr>
          <w:p w:rsidR="000C78F6" w:rsidRDefault="00FE53E7" w:rsidP="00FE53E7">
            <w:pPr>
              <w:pStyle w:val="ListParagraph"/>
              <w:numPr>
                <w:ilvl w:val="0"/>
                <w:numId w:val="11"/>
              </w:numPr>
            </w:pPr>
            <w:r>
              <w:t xml:space="preserve">The video demonstration/simulation does not show a handoff to another healthcare provider; </w:t>
            </w:r>
            <w:r>
              <w:lastRenderedPageBreak/>
              <w:t>but if you were receiv</w:t>
            </w:r>
            <w:r w:rsidR="00712080">
              <w:t>ing a patient from transport OR</w:t>
            </w:r>
            <w:r>
              <w:t xml:space="preserve"> if you were sending a patient with transport </w:t>
            </w:r>
          </w:p>
          <w:p w:rsidR="003171F0" w:rsidRDefault="003171F0" w:rsidP="003171F0">
            <w:pPr>
              <w:pStyle w:val="ListParagraph"/>
              <w:numPr>
                <w:ilvl w:val="1"/>
                <w:numId w:val="11"/>
              </w:numPr>
            </w:pPr>
            <w:r>
              <w:t>H</w:t>
            </w:r>
            <w:r w:rsidR="00FE53E7">
              <w:t xml:space="preserve">ow should you send/receive the patient and catheter?  </w:t>
            </w:r>
          </w:p>
          <w:p w:rsidR="003171F0" w:rsidRDefault="00FE53E7" w:rsidP="003171F0">
            <w:pPr>
              <w:pStyle w:val="ListParagraph"/>
              <w:numPr>
                <w:ilvl w:val="1"/>
                <w:numId w:val="11"/>
              </w:numPr>
            </w:pPr>
            <w:r>
              <w:t xml:space="preserve">What about </w:t>
            </w:r>
            <w:r w:rsidR="0054544E">
              <w:t xml:space="preserve">hand off and </w:t>
            </w:r>
            <w:r>
              <w:t>end of shift report</w:t>
            </w:r>
            <w:r w:rsidR="003171F0">
              <w:t>?</w:t>
            </w:r>
          </w:p>
          <w:p w:rsidR="00043128" w:rsidRDefault="003171F0" w:rsidP="003171F0">
            <w:pPr>
              <w:pStyle w:val="ListParagraph"/>
              <w:numPr>
                <w:ilvl w:val="1"/>
                <w:numId w:val="11"/>
              </w:numPr>
            </w:pPr>
            <w:r>
              <w:t>W</w:t>
            </w:r>
            <w:r w:rsidR="00FE53E7">
              <w:t>hat should the nurse discuss with the oncoming nurse?</w:t>
            </w:r>
          </w:p>
          <w:p w:rsidR="00086398" w:rsidRPr="00086398" w:rsidRDefault="00086398" w:rsidP="00086398">
            <w:pPr>
              <w:pStyle w:val="ListParagraph"/>
              <w:numPr>
                <w:ilvl w:val="0"/>
                <w:numId w:val="11"/>
              </w:numPr>
            </w:pPr>
            <w:r>
              <w:t>Discuss the importance of a</w:t>
            </w:r>
            <w:r w:rsidRPr="00086398">
              <w:t>ssess</w:t>
            </w:r>
            <w:r>
              <w:t>ing</w:t>
            </w:r>
            <w:r w:rsidRPr="00086398">
              <w:t xml:space="preserve"> line necessity during hand off/hand over while performing ITRACE activities</w:t>
            </w:r>
            <w:r>
              <w:t>.</w:t>
            </w:r>
          </w:p>
          <w:p w:rsidR="00086398" w:rsidRPr="00FE53E7" w:rsidRDefault="00086398" w:rsidP="007E4851">
            <w:pPr>
              <w:pStyle w:val="ListParagraph"/>
              <w:numPr>
                <w:ilvl w:val="0"/>
                <w:numId w:val="11"/>
              </w:numPr>
            </w:pPr>
            <w:r>
              <w:t>Discuss patient IUC infection risk</w:t>
            </w:r>
            <w:r w:rsidR="007E4851">
              <w:t>s</w:t>
            </w:r>
            <w:r>
              <w:t xml:space="preserve"> </w:t>
            </w:r>
            <w:r w:rsidRPr="00086398">
              <w:t>during hand off/hand over</w:t>
            </w:r>
            <w:r>
              <w:t>.</w:t>
            </w:r>
          </w:p>
        </w:tc>
      </w:tr>
      <w:tr w:rsidR="00D36E4E" w:rsidTr="00FE53E7">
        <w:tc>
          <w:tcPr>
            <w:tcW w:w="1008" w:type="dxa"/>
          </w:tcPr>
          <w:p w:rsidR="00D36E4E" w:rsidRDefault="00D36E4E" w:rsidP="00E62014">
            <w:pPr>
              <w:autoSpaceDE w:val="0"/>
              <w:autoSpaceDN w:val="0"/>
              <w:rPr>
                <w:rFonts w:cs="Arial"/>
              </w:rPr>
            </w:pPr>
            <w:r>
              <w:rPr>
                <w:rFonts w:cs="Arial"/>
              </w:rPr>
              <w:lastRenderedPageBreak/>
              <w:t>5</w:t>
            </w:r>
          </w:p>
        </w:tc>
        <w:tc>
          <w:tcPr>
            <w:tcW w:w="5040" w:type="dxa"/>
          </w:tcPr>
          <w:p w:rsidR="00D36E4E" w:rsidRPr="00627FA8" w:rsidRDefault="00D36E4E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Post-test and turn in evaluation</w:t>
            </w:r>
          </w:p>
        </w:tc>
        <w:tc>
          <w:tcPr>
            <w:tcW w:w="3528" w:type="dxa"/>
          </w:tcPr>
          <w:p w:rsidR="00D36E4E" w:rsidRDefault="007F42F1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Distribute post-test</w:t>
            </w:r>
          </w:p>
          <w:p w:rsidR="007F42F1" w:rsidRDefault="007F42F1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Collect post-test and evaluations as participants leave, and</w:t>
            </w:r>
          </w:p>
          <w:p w:rsidR="007F42F1" w:rsidRDefault="007F42F1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Give participants CNE certificate</w:t>
            </w:r>
          </w:p>
        </w:tc>
        <w:tc>
          <w:tcPr>
            <w:tcW w:w="4932" w:type="dxa"/>
          </w:tcPr>
          <w:p w:rsidR="00D36E4E" w:rsidRDefault="00D36E4E" w:rsidP="00D36E4E"/>
        </w:tc>
      </w:tr>
      <w:tr w:rsidR="00043128" w:rsidTr="00FE53E7">
        <w:tc>
          <w:tcPr>
            <w:tcW w:w="1008" w:type="dxa"/>
          </w:tcPr>
          <w:p w:rsidR="00043128" w:rsidRPr="00E62014" w:rsidRDefault="00FF7890" w:rsidP="004B2643">
            <w:pPr>
              <w:autoSpaceDE w:val="0"/>
              <w:autoSpaceDN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  <w:r w:rsidR="004B2643">
              <w:rPr>
                <w:rFonts w:cs="Arial"/>
                <w:b/>
              </w:rPr>
              <w:t>0</w:t>
            </w:r>
          </w:p>
        </w:tc>
        <w:tc>
          <w:tcPr>
            <w:tcW w:w="5040" w:type="dxa"/>
          </w:tcPr>
          <w:p w:rsidR="00043128" w:rsidRPr="00E62014" w:rsidRDefault="00043128" w:rsidP="00E62014">
            <w:pPr>
              <w:autoSpaceDE w:val="0"/>
              <w:autoSpaceDN w:val="0"/>
              <w:rPr>
                <w:rFonts w:cs="Arial"/>
                <w:b/>
                <w:color w:val="000000"/>
              </w:rPr>
            </w:pPr>
            <w:r w:rsidRPr="00E62014">
              <w:rPr>
                <w:rFonts w:cs="Arial"/>
                <w:b/>
                <w:color w:val="000000"/>
              </w:rPr>
              <w:t>Minutes</w:t>
            </w:r>
          </w:p>
        </w:tc>
        <w:tc>
          <w:tcPr>
            <w:tcW w:w="3528" w:type="dxa"/>
          </w:tcPr>
          <w:p w:rsidR="00043128" w:rsidRDefault="007151C4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Total video time 40 minutes</w:t>
            </w:r>
            <w:r w:rsidR="00A13761">
              <w:rPr>
                <w:rFonts w:cs="Arial"/>
                <w:color w:val="000000"/>
              </w:rPr>
              <w:t xml:space="preserve"> (</w:t>
            </w:r>
            <w:r w:rsidR="00A13761">
              <w:rPr>
                <w:rFonts w:cs="Arial"/>
              </w:rPr>
              <w:t>Didactic 15:37 &amp; Simulation 24:35)</w:t>
            </w:r>
          </w:p>
          <w:p w:rsidR="007151C4" w:rsidRDefault="007151C4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Activities</w:t>
            </w:r>
            <w:r w:rsidR="00D47BED">
              <w:rPr>
                <w:rFonts w:cs="Arial"/>
                <w:color w:val="000000"/>
              </w:rPr>
              <w:t>:</w:t>
            </w:r>
          </w:p>
          <w:p w:rsidR="00D36E4E" w:rsidRDefault="00D36E4E" w:rsidP="007151C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CNE Instructions 5 minutes</w:t>
            </w:r>
          </w:p>
          <w:p w:rsidR="00D36E4E" w:rsidRDefault="00D36E4E" w:rsidP="007151C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Pre- and post-test 10 minutes</w:t>
            </w:r>
          </w:p>
          <w:p w:rsidR="007151C4" w:rsidRDefault="00FF7890" w:rsidP="007151C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Insertion 2</w:t>
            </w:r>
            <w:r w:rsidR="00D36E4E">
              <w:rPr>
                <w:rFonts w:cs="Arial"/>
                <w:color w:val="000000"/>
              </w:rPr>
              <w:t>0</w:t>
            </w:r>
            <w:r w:rsidR="007151C4">
              <w:rPr>
                <w:rFonts w:cs="Arial"/>
                <w:color w:val="000000"/>
              </w:rPr>
              <w:t xml:space="preserve"> minutes</w:t>
            </w:r>
          </w:p>
          <w:p w:rsidR="007151C4" w:rsidRDefault="007151C4" w:rsidP="007151C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Audit 1</w:t>
            </w:r>
            <w:r w:rsidR="00A13761">
              <w:rPr>
                <w:rFonts w:cs="Arial"/>
                <w:color w:val="000000"/>
              </w:rPr>
              <w:t>5</w:t>
            </w:r>
            <w:r>
              <w:rPr>
                <w:rFonts w:cs="Arial"/>
                <w:color w:val="000000"/>
              </w:rPr>
              <w:t xml:space="preserve"> minutes</w:t>
            </w:r>
          </w:p>
          <w:p w:rsidR="00D47BED" w:rsidRPr="00FF7890" w:rsidRDefault="00403700" w:rsidP="00FF789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Debrief q</w:t>
            </w:r>
            <w:r w:rsidR="007151C4">
              <w:rPr>
                <w:rFonts w:cs="Arial"/>
                <w:color w:val="000000"/>
              </w:rPr>
              <w:t xml:space="preserve">uestions </w:t>
            </w:r>
            <w:r w:rsidR="00D36E4E">
              <w:rPr>
                <w:rFonts w:cs="Arial"/>
                <w:color w:val="000000"/>
              </w:rPr>
              <w:t>3</w:t>
            </w:r>
            <w:r w:rsidR="00A13761">
              <w:rPr>
                <w:rFonts w:cs="Arial"/>
                <w:color w:val="000000"/>
              </w:rPr>
              <w:t>0</w:t>
            </w:r>
            <w:r w:rsidR="00D47BED">
              <w:rPr>
                <w:rFonts w:cs="Arial"/>
                <w:color w:val="000000"/>
              </w:rPr>
              <w:t xml:space="preserve"> minutes</w:t>
            </w:r>
          </w:p>
        </w:tc>
        <w:tc>
          <w:tcPr>
            <w:tcW w:w="4932" w:type="dxa"/>
          </w:tcPr>
          <w:p w:rsidR="00043128" w:rsidRDefault="0004312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</w:tc>
      </w:tr>
      <w:tr w:rsidR="00043128" w:rsidTr="00FE53E7">
        <w:tc>
          <w:tcPr>
            <w:tcW w:w="1008" w:type="dxa"/>
          </w:tcPr>
          <w:p w:rsidR="00043128" w:rsidRPr="00E62014" w:rsidRDefault="00A13761" w:rsidP="00E62014">
            <w:pPr>
              <w:autoSpaceDE w:val="0"/>
              <w:autoSpaceDN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4B2643">
              <w:rPr>
                <w:rFonts w:cs="Arial"/>
                <w:b/>
              </w:rPr>
              <w:t>.0</w:t>
            </w:r>
          </w:p>
        </w:tc>
        <w:tc>
          <w:tcPr>
            <w:tcW w:w="5040" w:type="dxa"/>
          </w:tcPr>
          <w:p w:rsidR="00043128" w:rsidRPr="00E62014" w:rsidRDefault="00043128" w:rsidP="00E62014">
            <w:pPr>
              <w:autoSpaceDE w:val="0"/>
              <w:autoSpaceDN w:val="0"/>
              <w:rPr>
                <w:rFonts w:cs="Arial"/>
                <w:b/>
                <w:color w:val="000000"/>
              </w:rPr>
            </w:pPr>
            <w:r w:rsidRPr="00E62014">
              <w:rPr>
                <w:rFonts w:cs="Arial"/>
                <w:b/>
                <w:color w:val="000000"/>
              </w:rPr>
              <w:t>Hours</w:t>
            </w:r>
          </w:p>
        </w:tc>
        <w:tc>
          <w:tcPr>
            <w:tcW w:w="3528" w:type="dxa"/>
          </w:tcPr>
          <w:p w:rsidR="00043128" w:rsidRDefault="00043128" w:rsidP="00E62014">
            <w:pPr>
              <w:autoSpaceDE w:val="0"/>
              <w:autoSpaceDN w:val="0"/>
              <w:rPr>
                <w:rFonts w:cs="Arial"/>
                <w:color w:val="000000"/>
              </w:rPr>
            </w:pPr>
          </w:p>
        </w:tc>
        <w:tc>
          <w:tcPr>
            <w:tcW w:w="4932" w:type="dxa"/>
          </w:tcPr>
          <w:p w:rsidR="00043128" w:rsidRDefault="00043128" w:rsidP="00043128">
            <w:pPr>
              <w:autoSpaceDE w:val="0"/>
              <w:autoSpaceDN w:val="0"/>
              <w:ind w:right="-1848"/>
              <w:rPr>
                <w:rFonts w:cs="Arial"/>
                <w:color w:val="000000"/>
              </w:rPr>
            </w:pPr>
          </w:p>
        </w:tc>
      </w:tr>
    </w:tbl>
    <w:p w:rsidR="006954B7" w:rsidRDefault="00EB2CA7" w:rsidP="00E62014">
      <w:pPr>
        <w:autoSpaceDE w:val="0"/>
        <w:autoSpaceDN w:val="0"/>
        <w:spacing w:after="0" w:line="240" w:lineRule="auto"/>
      </w:pPr>
      <w:r>
        <w:t xml:space="preserve">Course </w:t>
      </w:r>
    </w:p>
    <w:p w:rsidR="006954B7" w:rsidRDefault="00D37081" w:rsidP="006954B7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</w:pPr>
      <w:r>
        <w:t>Participants take awa</w:t>
      </w:r>
      <w:r w:rsidR="006954B7">
        <w:t>y</w:t>
      </w:r>
      <w:r>
        <w:t>/handout</w:t>
      </w:r>
      <w:r w:rsidR="007F42F1">
        <w:t xml:space="preserve"> as a packet</w:t>
      </w:r>
      <w:r w:rsidR="006954B7">
        <w:t>:</w:t>
      </w:r>
    </w:p>
    <w:p w:rsidR="007F42F1" w:rsidRDefault="007F42F1" w:rsidP="001C01F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CNE Instructions</w:t>
      </w:r>
    </w:p>
    <w:p w:rsidR="00DD4FD9" w:rsidRDefault="00DD4FD9" w:rsidP="001C01F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Agenda</w:t>
      </w:r>
      <w:r w:rsidR="00057936">
        <w:t xml:space="preserve"> (insert the AM or PM as appropriate for the class)</w:t>
      </w:r>
    </w:p>
    <w:p w:rsidR="007E4851" w:rsidRDefault="00E7183A" w:rsidP="001C01F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Participant’s guide (title: HA-CAUTI Education Program)</w:t>
      </w:r>
    </w:p>
    <w:p w:rsidR="00CC4A5F" w:rsidRDefault="00CC4A5F" w:rsidP="001C01F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Insertion checklists</w:t>
      </w:r>
      <w:r w:rsidR="00EB2CA7">
        <w:t xml:space="preserve"> with </w:t>
      </w:r>
      <w:proofErr w:type="spellStart"/>
      <w:r w:rsidR="00EB2CA7">
        <w:t>periwipes</w:t>
      </w:r>
      <w:proofErr w:type="spellEnd"/>
      <w:r w:rsidR="00EB2CA7">
        <w:t xml:space="preserve"> in kit</w:t>
      </w:r>
    </w:p>
    <w:p w:rsidR="006954B7" w:rsidRDefault="007F42F1" w:rsidP="001C01F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Maintenance a</w:t>
      </w:r>
      <w:r w:rsidR="007E4851">
        <w:t>udit tool with instruction sheet</w:t>
      </w:r>
    </w:p>
    <w:p w:rsidR="0001030E" w:rsidRDefault="0001030E" w:rsidP="000103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lastRenderedPageBreak/>
        <w:t>Nurse Driven protocols</w:t>
      </w:r>
    </w:p>
    <w:p w:rsidR="00FE53E7" w:rsidRDefault="00CC4A5F" w:rsidP="00E62014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D</w:t>
      </w:r>
      <w:r w:rsidR="00FE53E7">
        <w:t xml:space="preserve">ocumentation </w:t>
      </w:r>
      <w:r>
        <w:t>requirements</w:t>
      </w:r>
    </w:p>
    <w:p w:rsidR="007F42F1" w:rsidRDefault="007F42F1" w:rsidP="00E62014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Course Evaluation</w:t>
      </w:r>
    </w:p>
    <w:p w:rsidR="00B818B9" w:rsidRDefault="00B818B9" w:rsidP="00B818B9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</w:pPr>
      <w:r>
        <w:t>Supplies</w:t>
      </w:r>
      <w:r w:rsidR="007F42F1">
        <w:t xml:space="preserve"> per course</w:t>
      </w:r>
    </w:p>
    <w:p w:rsidR="00E0334F" w:rsidRDefault="00E0334F" w:rsidP="00B818B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Facilitator’s HA-CAUTI Education Design and Agenda for TCMC</w:t>
      </w:r>
    </w:p>
    <w:p w:rsidR="00B7194B" w:rsidRDefault="00B7194B" w:rsidP="00B818B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Pre-test (1 per participant)</w:t>
      </w:r>
    </w:p>
    <w:p w:rsidR="00B7194B" w:rsidRDefault="00B7194B" w:rsidP="00B818B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Post-test (1 per participant)</w:t>
      </w:r>
    </w:p>
    <w:p w:rsidR="001509FB" w:rsidRDefault="001509FB" w:rsidP="00B818B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Exam gloves</w:t>
      </w:r>
    </w:p>
    <w:p w:rsidR="00B818B9" w:rsidRDefault="00B818B9" w:rsidP="00B818B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 xml:space="preserve">Male &amp; female </w:t>
      </w:r>
      <w:proofErr w:type="spellStart"/>
      <w:r>
        <w:t>peri</w:t>
      </w:r>
      <w:proofErr w:type="spellEnd"/>
      <w:r>
        <w:t>-mannequins</w:t>
      </w:r>
    </w:p>
    <w:p w:rsidR="00B818B9" w:rsidRDefault="007F42F1" w:rsidP="00FF789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Indwelling urinary c</w:t>
      </w:r>
      <w:r w:rsidR="00B818B9">
        <w:t>atheter kits</w:t>
      </w:r>
      <w:r>
        <w:t xml:space="preserve"> (4)</w:t>
      </w:r>
    </w:p>
    <w:p w:rsidR="007F42F1" w:rsidRDefault="007F42F1" w:rsidP="00FF789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CAUTI cardboard mannequins (3)</w:t>
      </w:r>
    </w:p>
    <w:p w:rsidR="007F42F1" w:rsidRDefault="007F42F1" w:rsidP="00FF789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Green tea for urine – 1 gallon</w:t>
      </w:r>
    </w:p>
    <w:p w:rsidR="007F42F1" w:rsidRDefault="004D1EBC" w:rsidP="00FF789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Audit scenario cards (3)</w:t>
      </w:r>
    </w:p>
    <w:p w:rsidR="004D1EBC" w:rsidRDefault="007F21C5" w:rsidP="00FF789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HA-CAUTI Maintenance Audit Facilitators Guide</w:t>
      </w:r>
    </w:p>
    <w:p w:rsidR="005D104A" w:rsidRPr="00627FA8" w:rsidRDefault="005D104A" w:rsidP="00FF789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</w:pPr>
      <w:r>
        <w:t>CNE certificates (1 per participant)</w:t>
      </w:r>
    </w:p>
    <w:sectPr w:rsidR="005D104A" w:rsidRPr="00627FA8" w:rsidSect="00043128">
      <w:headerReference w:type="default" r:id="rId9"/>
      <w:footerReference w:type="default" r:id="rId10"/>
      <w:pgSz w:w="15840" w:h="12240" w:orient="landscape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B89" w:rsidRDefault="00090B89" w:rsidP="00A47362">
      <w:pPr>
        <w:spacing w:after="0" w:line="240" w:lineRule="auto"/>
      </w:pPr>
      <w:r>
        <w:separator/>
      </w:r>
    </w:p>
  </w:endnote>
  <w:endnote w:type="continuationSeparator" w:id="0">
    <w:p w:rsidR="00090B89" w:rsidRDefault="00090B89" w:rsidP="00A47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0B2" w:rsidRDefault="009C70B2">
    <w:pPr>
      <w:pStyle w:val="Footer"/>
    </w:pPr>
    <w:r>
      <w:t>7-23-14/</w:t>
    </w:r>
    <w:proofErr w:type="spellStart"/>
    <w:r>
      <w:t>glj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B89" w:rsidRDefault="00090B89" w:rsidP="00A47362">
      <w:pPr>
        <w:spacing w:after="0" w:line="240" w:lineRule="auto"/>
      </w:pPr>
      <w:r>
        <w:separator/>
      </w:r>
    </w:p>
  </w:footnote>
  <w:footnote w:type="continuationSeparator" w:id="0">
    <w:p w:rsidR="00090B89" w:rsidRDefault="00090B89" w:rsidP="00A47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362" w:rsidRDefault="00E0334F" w:rsidP="00A47362">
    <w:pPr>
      <w:spacing w:after="0" w:line="240" w:lineRule="auto"/>
      <w:jc w:val="center"/>
    </w:pPr>
    <w:r>
      <w:t xml:space="preserve">Facilitator’s </w:t>
    </w:r>
    <w:r w:rsidR="00533533">
      <w:t>HA-</w:t>
    </w:r>
    <w:r w:rsidR="00A47362">
      <w:t>CAUTI Educ</w:t>
    </w:r>
    <w:r w:rsidR="001E1E3B">
      <w:t xml:space="preserve">ation Design </w:t>
    </w:r>
    <w:r w:rsidR="009C70B2">
      <w:t>and Agenda</w:t>
    </w:r>
  </w:p>
  <w:p w:rsidR="00A47362" w:rsidRDefault="00A473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70B"/>
    <w:multiLevelType w:val="hybridMultilevel"/>
    <w:tmpl w:val="3596190E"/>
    <w:lvl w:ilvl="0" w:tplc="7C263C8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50A451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800A3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D7EFC0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1A8DEF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8CAD86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37823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1E88D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EBA5E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0F927E41"/>
    <w:multiLevelType w:val="hybridMultilevel"/>
    <w:tmpl w:val="B43018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620B63"/>
    <w:multiLevelType w:val="hybridMultilevel"/>
    <w:tmpl w:val="F432CF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86596B"/>
    <w:multiLevelType w:val="hybridMultilevel"/>
    <w:tmpl w:val="3392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73D8D"/>
    <w:multiLevelType w:val="hybridMultilevel"/>
    <w:tmpl w:val="70529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366B2"/>
    <w:multiLevelType w:val="hybridMultilevel"/>
    <w:tmpl w:val="EF0EB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EA05F2"/>
    <w:multiLevelType w:val="hybridMultilevel"/>
    <w:tmpl w:val="719C0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3E3A23"/>
    <w:multiLevelType w:val="hybridMultilevel"/>
    <w:tmpl w:val="283E1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2A17E5"/>
    <w:multiLevelType w:val="hybridMultilevel"/>
    <w:tmpl w:val="D6F4D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F43DE4"/>
    <w:multiLevelType w:val="hybridMultilevel"/>
    <w:tmpl w:val="A8706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8E45A6"/>
    <w:multiLevelType w:val="hybridMultilevel"/>
    <w:tmpl w:val="6F5C8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11565E"/>
    <w:multiLevelType w:val="hybridMultilevel"/>
    <w:tmpl w:val="12605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951E1A"/>
    <w:multiLevelType w:val="hybridMultilevel"/>
    <w:tmpl w:val="DAAC73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A11460"/>
    <w:multiLevelType w:val="hybridMultilevel"/>
    <w:tmpl w:val="947CC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3"/>
  </w:num>
  <w:num w:numId="10">
    <w:abstractNumId w:val="8"/>
  </w:num>
  <w:num w:numId="11">
    <w:abstractNumId w:val="9"/>
  </w:num>
  <w:num w:numId="12">
    <w:abstractNumId w:val="0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A8"/>
    <w:rsid w:val="0001030E"/>
    <w:rsid w:val="00043128"/>
    <w:rsid w:val="00057936"/>
    <w:rsid w:val="00086398"/>
    <w:rsid w:val="00090B89"/>
    <w:rsid w:val="00096C07"/>
    <w:rsid w:val="000C78F6"/>
    <w:rsid w:val="000E68FE"/>
    <w:rsid w:val="00141A59"/>
    <w:rsid w:val="001509FB"/>
    <w:rsid w:val="00173488"/>
    <w:rsid w:val="001C01FE"/>
    <w:rsid w:val="001C3933"/>
    <w:rsid w:val="001E1E3B"/>
    <w:rsid w:val="002E14F9"/>
    <w:rsid w:val="003171F0"/>
    <w:rsid w:val="00403700"/>
    <w:rsid w:val="00456CD8"/>
    <w:rsid w:val="004906B7"/>
    <w:rsid w:val="004A0C5F"/>
    <w:rsid w:val="004A1DCD"/>
    <w:rsid w:val="004B2643"/>
    <w:rsid w:val="004C3A9C"/>
    <w:rsid w:val="004D1EBC"/>
    <w:rsid w:val="004F122E"/>
    <w:rsid w:val="00515AE7"/>
    <w:rsid w:val="00531F16"/>
    <w:rsid w:val="00533533"/>
    <w:rsid w:val="0053523F"/>
    <w:rsid w:val="0054544E"/>
    <w:rsid w:val="00552036"/>
    <w:rsid w:val="005D104A"/>
    <w:rsid w:val="00623D43"/>
    <w:rsid w:val="00627FA8"/>
    <w:rsid w:val="006954B7"/>
    <w:rsid w:val="0070108A"/>
    <w:rsid w:val="00712080"/>
    <w:rsid w:val="007151C4"/>
    <w:rsid w:val="00717309"/>
    <w:rsid w:val="007373A8"/>
    <w:rsid w:val="00764156"/>
    <w:rsid w:val="007D1F3A"/>
    <w:rsid w:val="007E4851"/>
    <w:rsid w:val="007F21C5"/>
    <w:rsid w:val="007F42F1"/>
    <w:rsid w:val="008539E3"/>
    <w:rsid w:val="008B0ED7"/>
    <w:rsid w:val="008C24D6"/>
    <w:rsid w:val="008E7AE6"/>
    <w:rsid w:val="00904BA0"/>
    <w:rsid w:val="00956980"/>
    <w:rsid w:val="00973F1E"/>
    <w:rsid w:val="009C70B2"/>
    <w:rsid w:val="009D2DB4"/>
    <w:rsid w:val="00A0309B"/>
    <w:rsid w:val="00A13761"/>
    <w:rsid w:val="00A47362"/>
    <w:rsid w:val="00AC7617"/>
    <w:rsid w:val="00AF3472"/>
    <w:rsid w:val="00B34F49"/>
    <w:rsid w:val="00B632D7"/>
    <w:rsid w:val="00B7194B"/>
    <w:rsid w:val="00B818B9"/>
    <w:rsid w:val="00BA4C41"/>
    <w:rsid w:val="00BE70AD"/>
    <w:rsid w:val="00C12659"/>
    <w:rsid w:val="00C6504B"/>
    <w:rsid w:val="00C76685"/>
    <w:rsid w:val="00CC4A5F"/>
    <w:rsid w:val="00CD5490"/>
    <w:rsid w:val="00D05742"/>
    <w:rsid w:val="00D35914"/>
    <w:rsid w:val="00D36E4E"/>
    <w:rsid w:val="00D37081"/>
    <w:rsid w:val="00D47BED"/>
    <w:rsid w:val="00DD4FD9"/>
    <w:rsid w:val="00DE2DE1"/>
    <w:rsid w:val="00DE3B17"/>
    <w:rsid w:val="00DE3B7F"/>
    <w:rsid w:val="00E0334F"/>
    <w:rsid w:val="00E0712F"/>
    <w:rsid w:val="00E5253C"/>
    <w:rsid w:val="00E62014"/>
    <w:rsid w:val="00E7183A"/>
    <w:rsid w:val="00E72AB1"/>
    <w:rsid w:val="00EB2CA7"/>
    <w:rsid w:val="00EF4302"/>
    <w:rsid w:val="00F32D2B"/>
    <w:rsid w:val="00FB3005"/>
    <w:rsid w:val="00FE53E7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2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54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362"/>
  </w:style>
  <w:style w:type="paragraph" w:styleId="Footer">
    <w:name w:val="footer"/>
    <w:basedOn w:val="Normal"/>
    <w:link w:val="FooterChar"/>
    <w:uiPriority w:val="99"/>
    <w:unhideWhenUsed/>
    <w:rsid w:val="00A47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2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54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362"/>
  </w:style>
  <w:style w:type="paragraph" w:styleId="Footer">
    <w:name w:val="footer"/>
    <w:basedOn w:val="Normal"/>
    <w:link w:val="FooterChar"/>
    <w:uiPriority w:val="99"/>
    <w:unhideWhenUsed/>
    <w:rsid w:val="00A47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448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7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4AB4-4280-4332-BE4C-42A2F092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HCA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Regsitered User</dc:creator>
  <cp:lastModifiedBy>laptop</cp:lastModifiedBy>
  <cp:revision>2</cp:revision>
  <cp:lastPrinted>2014-07-23T18:43:00Z</cp:lastPrinted>
  <dcterms:created xsi:type="dcterms:W3CDTF">2015-05-06T18:52:00Z</dcterms:created>
  <dcterms:modified xsi:type="dcterms:W3CDTF">2015-05-06T18:52:00Z</dcterms:modified>
</cp:coreProperties>
</file>